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4CE2E3" w14:textId="77777777" w:rsidR="00156648" w:rsidRPr="00F36C3E" w:rsidRDefault="00F14894">
      <w:pPr>
        <w:spacing w:after="0" w:line="259" w:lineRule="auto"/>
        <w:ind w:left="2606" w:firstLine="0"/>
        <w:jc w:val="center"/>
        <w:rPr>
          <w:color w:val="auto"/>
        </w:rPr>
      </w:pPr>
      <w:r w:rsidRPr="00F36C3E">
        <w:rPr>
          <w:color w:val="auto"/>
          <w:sz w:val="22"/>
        </w:rPr>
        <w:t xml:space="preserve"> </w:t>
      </w:r>
    </w:p>
    <w:p w14:paraId="40D53871" w14:textId="7BE8B85F" w:rsidR="00156648" w:rsidRPr="00F36C3E" w:rsidRDefault="00156648">
      <w:pPr>
        <w:spacing w:after="0" w:line="259" w:lineRule="auto"/>
        <w:ind w:left="0" w:firstLine="0"/>
        <w:jc w:val="left"/>
        <w:rPr>
          <w:color w:val="auto"/>
        </w:rPr>
      </w:pPr>
    </w:p>
    <w:p w14:paraId="4EE31F8A" w14:textId="77777777" w:rsidR="00156648" w:rsidRPr="00F36C3E" w:rsidRDefault="00F14894">
      <w:pPr>
        <w:spacing w:after="0" w:line="259" w:lineRule="auto"/>
        <w:ind w:left="0" w:firstLine="0"/>
        <w:jc w:val="left"/>
        <w:rPr>
          <w:color w:val="auto"/>
        </w:rPr>
      </w:pPr>
      <w:r w:rsidRPr="00F36C3E">
        <w:rPr>
          <w:rFonts w:ascii="Calibri" w:eastAsia="Calibri" w:hAnsi="Calibri" w:cs="Calibri"/>
          <w:color w:val="auto"/>
          <w:sz w:val="22"/>
        </w:rPr>
        <w:t xml:space="preserve"> </w:t>
      </w:r>
    </w:p>
    <w:p w14:paraId="7A3DDED3" w14:textId="77777777" w:rsidR="00156648" w:rsidRPr="00F36C3E" w:rsidRDefault="00F14894">
      <w:pPr>
        <w:spacing w:after="0" w:line="259" w:lineRule="auto"/>
        <w:ind w:left="0" w:firstLine="0"/>
        <w:jc w:val="left"/>
        <w:rPr>
          <w:color w:val="auto"/>
        </w:rPr>
      </w:pPr>
      <w:r w:rsidRPr="00F36C3E">
        <w:rPr>
          <w:color w:val="auto"/>
        </w:rPr>
        <w:t xml:space="preserve"> </w:t>
      </w:r>
    </w:p>
    <w:p w14:paraId="329A41DC" w14:textId="77777777" w:rsidR="00156648" w:rsidRPr="00F36C3E" w:rsidRDefault="00F14894">
      <w:pPr>
        <w:spacing w:after="0" w:line="259" w:lineRule="auto"/>
        <w:ind w:left="0" w:firstLine="0"/>
        <w:jc w:val="left"/>
        <w:rPr>
          <w:color w:val="auto"/>
        </w:rPr>
      </w:pPr>
      <w:r w:rsidRPr="00F36C3E">
        <w:rPr>
          <w:color w:val="auto"/>
        </w:rPr>
        <w:t xml:space="preserve"> </w:t>
      </w:r>
    </w:p>
    <w:p w14:paraId="62DD5C7A" w14:textId="77777777" w:rsidR="00156648" w:rsidRPr="00F36C3E" w:rsidRDefault="00F14894">
      <w:pPr>
        <w:spacing w:after="2" w:line="259" w:lineRule="auto"/>
        <w:ind w:left="51" w:firstLine="0"/>
        <w:jc w:val="center"/>
        <w:rPr>
          <w:color w:val="auto"/>
        </w:rPr>
      </w:pPr>
      <w:r w:rsidRPr="00F36C3E">
        <w:rPr>
          <w:b/>
          <w:color w:val="auto"/>
        </w:rPr>
        <w:t xml:space="preserve"> </w:t>
      </w:r>
    </w:p>
    <w:p w14:paraId="6131A011" w14:textId="77777777" w:rsidR="00156648" w:rsidRPr="00F36C3E" w:rsidRDefault="00F14894">
      <w:pPr>
        <w:spacing w:after="0" w:line="259" w:lineRule="auto"/>
        <w:ind w:left="51" w:firstLine="0"/>
        <w:jc w:val="center"/>
        <w:rPr>
          <w:color w:val="auto"/>
        </w:rPr>
      </w:pPr>
      <w:r w:rsidRPr="00F36C3E">
        <w:rPr>
          <w:b/>
          <w:color w:val="auto"/>
        </w:rPr>
        <w:t xml:space="preserve"> </w:t>
      </w:r>
    </w:p>
    <w:p w14:paraId="47D68DA8" w14:textId="77777777" w:rsidR="00156648" w:rsidRPr="00F36C3E" w:rsidRDefault="00F14894">
      <w:pPr>
        <w:spacing w:after="0" w:line="259" w:lineRule="auto"/>
        <w:ind w:left="51" w:firstLine="0"/>
        <w:jc w:val="center"/>
        <w:rPr>
          <w:color w:val="auto"/>
        </w:rPr>
      </w:pPr>
      <w:r w:rsidRPr="00F36C3E">
        <w:rPr>
          <w:b/>
          <w:color w:val="auto"/>
        </w:rPr>
        <w:t xml:space="preserve"> </w:t>
      </w:r>
    </w:p>
    <w:p w14:paraId="0D054BF0" w14:textId="77777777" w:rsidR="00156648" w:rsidRPr="00F36C3E" w:rsidRDefault="00F14894">
      <w:pPr>
        <w:spacing w:after="2" w:line="259" w:lineRule="auto"/>
        <w:ind w:left="51" w:firstLine="0"/>
        <w:jc w:val="center"/>
        <w:rPr>
          <w:color w:val="auto"/>
        </w:rPr>
      </w:pPr>
      <w:r w:rsidRPr="00F36C3E">
        <w:rPr>
          <w:b/>
          <w:color w:val="auto"/>
        </w:rPr>
        <w:t xml:space="preserve"> </w:t>
      </w:r>
    </w:p>
    <w:p w14:paraId="1F3EEADD" w14:textId="77777777" w:rsidR="00156648" w:rsidRPr="00F36C3E" w:rsidRDefault="00F14894">
      <w:pPr>
        <w:spacing w:after="0" w:line="259" w:lineRule="auto"/>
        <w:ind w:left="51" w:firstLine="0"/>
        <w:jc w:val="center"/>
        <w:rPr>
          <w:color w:val="auto"/>
        </w:rPr>
      </w:pPr>
      <w:r w:rsidRPr="00F36C3E">
        <w:rPr>
          <w:b/>
          <w:color w:val="auto"/>
        </w:rPr>
        <w:t xml:space="preserve"> </w:t>
      </w:r>
    </w:p>
    <w:p w14:paraId="4BC4EE5C" w14:textId="77777777" w:rsidR="00156648" w:rsidRPr="00F36C3E" w:rsidRDefault="00F14894">
      <w:pPr>
        <w:spacing w:after="3" w:line="259" w:lineRule="auto"/>
        <w:ind w:left="51" w:firstLine="0"/>
        <w:jc w:val="center"/>
        <w:rPr>
          <w:color w:val="auto"/>
        </w:rPr>
      </w:pPr>
      <w:r w:rsidRPr="00F36C3E">
        <w:rPr>
          <w:b/>
          <w:color w:val="auto"/>
        </w:rPr>
        <w:t xml:space="preserve"> </w:t>
      </w:r>
    </w:p>
    <w:p w14:paraId="5CF92399" w14:textId="77777777" w:rsidR="00156648" w:rsidRPr="00F36C3E" w:rsidRDefault="00F14894">
      <w:pPr>
        <w:spacing w:after="0" w:line="259" w:lineRule="auto"/>
        <w:ind w:left="51" w:firstLine="0"/>
        <w:jc w:val="center"/>
        <w:rPr>
          <w:color w:val="auto"/>
        </w:rPr>
      </w:pPr>
      <w:r w:rsidRPr="00F36C3E">
        <w:rPr>
          <w:b/>
          <w:color w:val="auto"/>
        </w:rPr>
        <w:t xml:space="preserve"> </w:t>
      </w:r>
    </w:p>
    <w:p w14:paraId="5CD79F2A" w14:textId="77777777" w:rsidR="00156648" w:rsidRPr="00F36C3E" w:rsidRDefault="00F14894">
      <w:pPr>
        <w:spacing w:after="2" w:line="259" w:lineRule="auto"/>
        <w:ind w:left="51" w:firstLine="0"/>
        <w:jc w:val="center"/>
        <w:rPr>
          <w:color w:val="auto"/>
        </w:rPr>
      </w:pPr>
      <w:r w:rsidRPr="00F36C3E">
        <w:rPr>
          <w:b/>
          <w:color w:val="auto"/>
        </w:rPr>
        <w:t xml:space="preserve"> </w:t>
      </w:r>
    </w:p>
    <w:p w14:paraId="5701EE64" w14:textId="77777777" w:rsidR="00156648" w:rsidRPr="00F36C3E" w:rsidRDefault="00F14894">
      <w:pPr>
        <w:spacing w:after="0" w:line="259" w:lineRule="auto"/>
        <w:ind w:left="51" w:firstLine="0"/>
        <w:jc w:val="center"/>
        <w:rPr>
          <w:color w:val="auto"/>
        </w:rPr>
      </w:pPr>
      <w:r w:rsidRPr="00F36C3E">
        <w:rPr>
          <w:b/>
          <w:color w:val="auto"/>
        </w:rPr>
        <w:t xml:space="preserve"> </w:t>
      </w:r>
    </w:p>
    <w:p w14:paraId="00234DE5" w14:textId="77777777" w:rsidR="00156648" w:rsidRPr="00F36C3E" w:rsidRDefault="00F14894">
      <w:pPr>
        <w:spacing w:after="0" w:line="259" w:lineRule="auto"/>
        <w:ind w:left="51" w:firstLine="0"/>
        <w:jc w:val="center"/>
        <w:rPr>
          <w:color w:val="auto"/>
        </w:rPr>
      </w:pPr>
      <w:r w:rsidRPr="00F36C3E">
        <w:rPr>
          <w:b/>
          <w:color w:val="auto"/>
        </w:rPr>
        <w:t xml:space="preserve"> </w:t>
      </w:r>
    </w:p>
    <w:p w14:paraId="656FFC51" w14:textId="77777777" w:rsidR="00156648" w:rsidRPr="00F36C3E" w:rsidRDefault="00F14894">
      <w:pPr>
        <w:spacing w:after="2" w:line="259" w:lineRule="auto"/>
        <w:ind w:left="51" w:firstLine="0"/>
        <w:jc w:val="center"/>
        <w:rPr>
          <w:color w:val="auto"/>
        </w:rPr>
      </w:pPr>
      <w:r w:rsidRPr="00F36C3E">
        <w:rPr>
          <w:b/>
          <w:color w:val="auto"/>
        </w:rPr>
        <w:t xml:space="preserve"> </w:t>
      </w:r>
    </w:p>
    <w:p w14:paraId="142F9D20" w14:textId="77777777" w:rsidR="00156648" w:rsidRPr="00F36C3E" w:rsidRDefault="00F14894">
      <w:pPr>
        <w:spacing w:after="0" w:line="259" w:lineRule="auto"/>
        <w:ind w:left="51" w:firstLine="0"/>
        <w:jc w:val="center"/>
        <w:rPr>
          <w:color w:val="auto"/>
        </w:rPr>
      </w:pPr>
      <w:r w:rsidRPr="00F36C3E">
        <w:rPr>
          <w:b/>
          <w:color w:val="auto"/>
        </w:rPr>
        <w:t xml:space="preserve"> </w:t>
      </w:r>
    </w:p>
    <w:p w14:paraId="01AB937E" w14:textId="77777777" w:rsidR="00156648" w:rsidRPr="00F36C3E" w:rsidRDefault="00F14894">
      <w:pPr>
        <w:spacing w:after="2" w:line="259" w:lineRule="auto"/>
        <w:ind w:left="51" w:firstLine="0"/>
        <w:jc w:val="center"/>
        <w:rPr>
          <w:color w:val="auto"/>
        </w:rPr>
      </w:pPr>
      <w:r w:rsidRPr="00F36C3E">
        <w:rPr>
          <w:b/>
          <w:color w:val="auto"/>
        </w:rPr>
        <w:t xml:space="preserve"> </w:t>
      </w:r>
    </w:p>
    <w:p w14:paraId="2E460B76" w14:textId="77777777" w:rsidR="00156648" w:rsidRPr="00F36C3E" w:rsidRDefault="00F14894">
      <w:pPr>
        <w:spacing w:after="0" w:line="259" w:lineRule="auto"/>
        <w:ind w:left="51" w:firstLine="0"/>
        <w:jc w:val="center"/>
        <w:rPr>
          <w:color w:val="auto"/>
        </w:rPr>
      </w:pPr>
      <w:r w:rsidRPr="00F36C3E">
        <w:rPr>
          <w:b/>
          <w:color w:val="auto"/>
        </w:rPr>
        <w:t xml:space="preserve"> </w:t>
      </w:r>
    </w:p>
    <w:p w14:paraId="50327AAC" w14:textId="77777777" w:rsidR="00156648" w:rsidRPr="00F36C3E" w:rsidRDefault="00F14894">
      <w:pPr>
        <w:spacing w:after="0" w:line="259" w:lineRule="auto"/>
        <w:ind w:left="51" w:firstLine="0"/>
        <w:jc w:val="center"/>
        <w:rPr>
          <w:color w:val="auto"/>
        </w:rPr>
      </w:pPr>
      <w:r w:rsidRPr="00F36C3E">
        <w:rPr>
          <w:b/>
          <w:color w:val="auto"/>
        </w:rPr>
        <w:t xml:space="preserve"> </w:t>
      </w:r>
    </w:p>
    <w:p w14:paraId="3B98E9EF" w14:textId="77777777" w:rsidR="00156648" w:rsidRPr="00F36C3E" w:rsidRDefault="00F14894">
      <w:pPr>
        <w:spacing w:after="2" w:line="259" w:lineRule="auto"/>
        <w:ind w:left="51" w:firstLine="0"/>
        <w:jc w:val="center"/>
        <w:rPr>
          <w:color w:val="auto"/>
        </w:rPr>
      </w:pPr>
      <w:r w:rsidRPr="00F36C3E">
        <w:rPr>
          <w:b/>
          <w:color w:val="auto"/>
        </w:rPr>
        <w:t xml:space="preserve"> </w:t>
      </w:r>
    </w:p>
    <w:p w14:paraId="74533A4E" w14:textId="77777777" w:rsidR="00156648" w:rsidRPr="00F36C3E" w:rsidRDefault="00F14894">
      <w:pPr>
        <w:spacing w:after="0" w:line="259" w:lineRule="auto"/>
        <w:ind w:left="51" w:firstLine="0"/>
        <w:jc w:val="center"/>
        <w:rPr>
          <w:color w:val="auto"/>
        </w:rPr>
      </w:pPr>
      <w:r w:rsidRPr="00F36C3E">
        <w:rPr>
          <w:b/>
          <w:color w:val="auto"/>
        </w:rPr>
        <w:t xml:space="preserve"> </w:t>
      </w:r>
    </w:p>
    <w:p w14:paraId="37F0C34A" w14:textId="77777777" w:rsidR="00156648" w:rsidRPr="00F36C3E" w:rsidRDefault="00F14894">
      <w:pPr>
        <w:spacing w:after="2" w:line="259" w:lineRule="auto"/>
        <w:ind w:left="51" w:firstLine="0"/>
        <w:jc w:val="center"/>
        <w:rPr>
          <w:color w:val="auto"/>
        </w:rPr>
      </w:pPr>
      <w:r w:rsidRPr="00F36C3E">
        <w:rPr>
          <w:b/>
          <w:color w:val="auto"/>
        </w:rPr>
        <w:t xml:space="preserve"> </w:t>
      </w:r>
    </w:p>
    <w:p w14:paraId="2A80B897" w14:textId="77777777" w:rsidR="00156648" w:rsidRPr="00F36C3E" w:rsidRDefault="00F14894">
      <w:pPr>
        <w:spacing w:after="0" w:line="259" w:lineRule="auto"/>
        <w:ind w:left="51" w:firstLine="0"/>
        <w:jc w:val="center"/>
        <w:rPr>
          <w:color w:val="auto"/>
        </w:rPr>
      </w:pPr>
      <w:r w:rsidRPr="00F36C3E">
        <w:rPr>
          <w:b/>
          <w:color w:val="auto"/>
        </w:rPr>
        <w:t xml:space="preserve"> </w:t>
      </w:r>
    </w:p>
    <w:p w14:paraId="27363001" w14:textId="77777777" w:rsidR="00156648" w:rsidRPr="00F36C3E" w:rsidRDefault="00F14894">
      <w:pPr>
        <w:spacing w:after="20" w:line="259" w:lineRule="auto"/>
        <w:ind w:left="51" w:firstLine="0"/>
        <w:jc w:val="center"/>
        <w:rPr>
          <w:color w:val="auto"/>
        </w:rPr>
      </w:pPr>
      <w:r w:rsidRPr="00F36C3E">
        <w:rPr>
          <w:b/>
          <w:color w:val="auto"/>
        </w:rPr>
        <w:t xml:space="preserve"> </w:t>
      </w:r>
    </w:p>
    <w:p w14:paraId="64DC6436" w14:textId="77777777" w:rsidR="00156648" w:rsidRPr="00F36C3E" w:rsidRDefault="00F14894">
      <w:pPr>
        <w:spacing w:after="0" w:line="361" w:lineRule="auto"/>
        <w:ind w:left="0" w:firstLine="0"/>
        <w:jc w:val="center"/>
        <w:rPr>
          <w:color w:val="auto"/>
        </w:rPr>
      </w:pPr>
      <w:r w:rsidRPr="00F36C3E">
        <w:rPr>
          <w:b/>
          <w:color w:val="auto"/>
          <w:sz w:val="22"/>
        </w:rPr>
        <w:t xml:space="preserve">ANEXO IX – REGRAS PARA CONTRATAÇÃO DE AUDITORIA DE CONFORMIDADE </w:t>
      </w:r>
    </w:p>
    <w:p w14:paraId="75FD6140" w14:textId="29F9ADD9" w:rsidR="001B3AC4" w:rsidRPr="00F36C3E" w:rsidRDefault="001B3AC4">
      <w:pPr>
        <w:spacing w:after="160" w:line="259" w:lineRule="auto"/>
        <w:ind w:left="0" w:firstLine="0"/>
        <w:jc w:val="left"/>
        <w:rPr>
          <w:rFonts w:ascii="Calibri" w:eastAsia="Calibri" w:hAnsi="Calibri" w:cs="Calibri"/>
          <w:b/>
          <w:color w:val="auto"/>
        </w:rPr>
      </w:pPr>
      <w:r w:rsidRPr="00F36C3E">
        <w:rPr>
          <w:rFonts w:ascii="Calibri" w:eastAsia="Calibri" w:hAnsi="Calibri" w:cs="Calibri"/>
          <w:b/>
          <w:color w:val="auto"/>
        </w:rPr>
        <w:br w:type="page"/>
      </w:r>
    </w:p>
    <w:p w14:paraId="6A8F2B75" w14:textId="77777777" w:rsidR="00156648" w:rsidRPr="00F36C3E" w:rsidRDefault="00156648">
      <w:pPr>
        <w:spacing w:after="0" w:line="259" w:lineRule="auto"/>
        <w:ind w:left="0" w:firstLine="0"/>
        <w:jc w:val="left"/>
        <w:rPr>
          <w:color w:val="auto"/>
        </w:rPr>
      </w:pPr>
    </w:p>
    <w:p w14:paraId="1488DB33" w14:textId="5E2F1C72" w:rsidR="00156648" w:rsidRPr="00F36C3E" w:rsidRDefault="00F14894">
      <w:pPr>
        <w:ind w:left="0" w:right="-5" w:firstLine="708"/>
        <w:rPr>
          <w:color w:val="auto"/>
        </w:rPr>
      </w:pPr>
      <w:r w:rsidRPr="00F36C3E">
        <w:rPr>
          <w:color w:val="auto"/>
        </w:rPr>
        <w:t>O presente ANEXO estabelece os procedimentos referentes à contratação de INVESTIGAÇÃO INDEPENDENTE de que trata a Cláusula 28.3 do CONTRATO.</w:t>
      </w:r>
    </w:p>
    <w:p w14:paraId="614DEC3F" w14:textId="03E9826E" w:rsidR="00156648" w:rsidRPr="00F36C3E" w:rsidRDefault="00F14894">
      <w:pPr>
        <w:ind w:left="0" w:right="-5" w:firstLine="708"/>
        <w:rPr>
          <w:color w:val="auto"/>
        </w:rPr>
      </w:pPr>
      <w:r w:rsidRPr="00F36C3E">
        <w:rPr>
          <w:color w:val="auto"/>
        </w:rPr>
        <w:t>Para fins deste ANEXO, INVESTIGAÇÃO INDEPENDENTE significa a condução de investigação por entidade externa à CONCESSIONÁRIA, que não seja PARTE RELACIONADA e não esteja prestando ou tenha prestado serviços à CONCESSIONÁRIA nos últimos seis meses, para que apure, com independência técnica, sem a ingerência da direção ou demais empregados, colaboradores ou prestadores de serviço da CONCESSIONÁRIA, o envolvimento da CONCESSIONÁRIA, de forma direta ou indireta, na prática dos ilícitos mencionados na Cláusula 28.3 do CONTRATO.</w:t>
      </w:r>
    </w:p>
    <w:p w14:paraId="676F9502" w14:textId="23F99E13" w:rsidR="00D9777E" w:rsidRPr="00F36C3E" w:rsidRDefault="00F14894">
      <w:pPr>
        <w:ind w:left="0" w:right="-5" w:firstLine="708"/>
        <w:rPr>
          <w:color w:val="auto"/>
        </w:rPr>
      </w:pPr>
      <w:r w:rsidRPr="00F36C3E">
        <w:rPr>
          <w:color w:val="auto"/>
        </w:rPr>
        <w:t xml:space="preserve">Não há prazo máximo para conclusão dos trabalhos de investigação independente, podendo tal prazo ser fixado em cada caso específico, a depender da complexidade da questão. </w:t>
      </w:r>
      <w:r w:rsidR="00D9777E" w:rsidRPr="00F36C3E">
        <w:rPr>
          <w:color w:val="auto"/>
        </w:rPr>
        <w:t>(Parágrafo inserido em decorrência da Resposta STM 513)</w:t>
      </w:r>
    </w:p>
    <w:p w14:paraId="056D19FC" w14:textId="77777777" w:rsidR="00156648" w:rsidRPr="00F36C3E" w:rsidRDefault="00F14894">
      <w:pPr>
        <w:ind w:left="0" w:right="-5" w:firstLine="708"/>
        <w:rPr>
          <w:color w:val="auto"/>
        </w:rPr>
      </w:pPr>
      <w:r w:rsidRPr="00F36C3E">
        <w:rPr>
          <w:color w:val="auto"/>
        </w:rPr>
        <w:t xml:space="preserve">Para outros termos grafados em maiúsculas, deverão ser considerados os termos definidos do CONTRATO. </w:t>
      </w:r>
    </w:p>
    <w:p w14:paraId="458A9E01" w14:textId="77777777" w:rsidR="00156648" w:rsidRPr="00F36C3E" w:rsidRDefault="00F14894">
      <w:pPr>
        <w:spacing w:after="235" w:line="259" w:lineRule="auto"/>
        <w:ind w:left="708" w:firstLine="0"/>
        <w:jc w:val="left"/>
        <w:rPr>
          <w:color w:val="auto"/>
        </w:rPr>
      </w:pPr>
      <w:r w:rsidRPr="00F36C3E">
        <w:rPr>
          <w:color w:val="auto"/>
        </w:rPr>
        <w:t xml:space="preserve"> </w:t>
      </w:r>
    </w:p>
    <w:p w14:paraId="71DC74D0" w14:textId="77777777" w:rsidR="00156648" w:rsidRPr="00F36C3E" w:rsidRDefault="00F14894">
      <w:pPr>
        <w:numPr>
          <w:ilvl w:val="0"/>
          <w:numId w:val="1"/>
        </w:numPr>
        <w:spacing w:after="104" w:line="358" w:lineRule="auto"/>
        <w:ind w:hanging="355"/>
        <w:jc w:val="left"/>
        <w:rPr>
          <w:color w:val="auto"/>
        </w:rPr>
      </w:pPr>
      <w:r w:rsidRPr="00F36C3E">
        <w:rPr>
          <w:b/>
          <w:color w:val="auto"/>
          <w:sz w:val="22"/>
        </w:rPr>
        <w:t xml:space="preserve">DISPOSIÇÕES GERAIS PARA CONTRATAÇÃO DE INVESTIGAÇÃO INDEPENDENTE </w:t>
      </w:r>
    </w:p>
    <w:p w14:paraId="317A3158" w14:textId="77777777" w:rsidR="00156648" w:rsidRPr="00F36C3E" w:rsidRDefault="00F14894">
      <w:pPr>
        <w:numPr>
          <w:ilvl w:val="1"/>
          <w:numId w:val="1"/>
        </w:numPr>
        <w:ind w:left="726" w:right="-5" w:hanging="355"/>
        <w:rPr>
          <w:color w:val="auto"/>
        </w:rPr>
      </w:pPr>
      <w:r w:rsidRPr="00F36C3E">
        <w:rPr>
          <w:color w:val="auto"/>
        </w:rPr>
        <w:t xml:space="preserve">Verificada a ocorrência do disposto na Cláusula 28.3 do CONTRATO, a CONCESSIONÁRIA deverá, em até 15 (quinze) dias da verificação do ocorrido, notificar ao PODER CONCEDENTE as providências que estiver tomando com relação à ocorrência e apresentar ao PODER CONCEDENTE, para prévia homologação, lista com ao menos 3 (três) empresas ou consórcios de empresas que reúnam as condições mínimas de qualificação para o exercício da função.  </w:t>
      </w:r>
    </w:p>
    <w:p w14:paraId="37C3D875" w14:textId="77777777" w:rsidR="00156648" w:rsidRPr="00F36C3E" w:rsidRDefault="00F14894">
      <w:pPr>
        <w:numPr>
          <w:ilvl w:val="1"/>
          <w:numId w:val="1"/>
        </w:numPr>
        <w:ind w:left="726" w:right="-5" w:hanging="355"/>
        <w:rPr>
          <w:color w:val="auto"/>
        </w:rPr>
      </w:pPr>
      <w:r w:rsidRPr="00F36C3E">
        <w:rPr>
          <w:color w:val="auto"/>
        </w:rPr>
        <w:t xml:space="preserve">O PODER CONCEDENTE se manifestará, no prazo máximo de 10 (dez) dias corridos, contados do recebimento da indicação feita pela CONCESSIONÁRIA, acerca da qualificação das empresas ou dos consórcios de empresas apresentados pela CONCESSIONÁRIA, cabendo à CONCESSIONÁRIA formalizar a contratação de uma das empresas ou consórcio de empresas, dentre as homologadas pelo PODER CONCEDENTE, no prazo máximo de 10 (dez) dias após a aprovação.  </w:t>
      </w:r>
    </w:p>
    <w:p w14:paraId="6F53D206" w14:textId="77777777" w:rsidR="00156648" w:rsidRPr="00F36C3E" w:rsidRDefault="00F14894">
      <w:pPr>
        <w:numPr>
          <w:ilvl w:val="1"/>
          <w:numId w:val="1"/>
        </w:numPr>
        <w:ind w:left="726" w:right="-5" w:hanging="355"/>
        <w:rPr>
          <w:color w:val="auto"/>
        </w:rPr>
      </w:pPr>
      <w:r w:rsidRPr="00F36C3E">
        <w:rPr>
          <w:color w:val="auto"/>
        </w:rPr>
        <w:t xml:space="preserve">Caso o PODER CONCEDENTE rejeite integralmente a lista de empresas apresentada pela CONCESSIONÁRIA, esta deverá apresentar outra lista, nos mesmos termos indicados no item 1.1 deste ANEXO, até que o PODER CONCEDENTE manifeste sua concordância.  </w:t>
      </w:r>
    </w:p>
    <w:p w14:paraId="7DAD21FE" w14:textId="77777777" w:rsidR="00156648" w:rsidRPr="00F36C3E" w:rsidRDefault="00F14894">
      <w:pPr>
        <w:numPr>
          <w:ilvl w:val="1"/>
          <w:numId w:val="1"/>
        </w:numPr>
        <w:ind w:left="726" w:right="-5" w:hanging="355"/>
        <w:rPr>
          <w:color w:val="auto"/>
        </w:rPr>
      </w:pPr>
      <w:r w:rsidRPr="00F36C3E">
        <w:rPr>
          <w:color w:val="auto"/>
        </w:rPr>
        <w:lastRenderedPageBreak/>
        <w:t xml:space="preserve">A rejeição, pelo PODER CONCEDENTE, das opções indicadas pela CONCESSIONÁRIA, dar-se-á sempre de maneira motivada e fundamentada, mediante a indicação do requisito específico de qualificação não atendido pelas empresas indicadas pela CONCESSIONÁRIA. </w:t>
      </w:r>
    </w:p>
    <w:p w14:paraId="75FE0A2D" w14:textId="77777777" w:rsidR="00156648" w:rsidRPr="00F36C3E" w:rsidRDefault="00F14894">
      <w:pPr>
        <w:numPr>
          <w:ilvl w:val="1"/>
          <w:numId w:val="1"/>
        </w:numPr>
        <w:ind w:left="726" w:right="-5" w:hanging="355"/>
        <w:rPr>
          <w:color w:val="auto"/>
        </w:rPr>
      </w:pPr>
      <w:r w:rsidRPr="00F36C3E">
        <w:rPr>
          <w:color w:val="auto"/>
        </w:rPr>
        <w:t xml:space="preserve">A empresa, ou consórcio de empresas, responsável pela atividade de INVESTIGAÇÃO INDEPENDENTE, deverá atender aos seguintes requisitos de qualificação: </w:t>
      </w:r>
    </w:p>
    <w:p w14:paraId="2DD958C2" w14:textId="77777777" w:rsidR="00156648" w:rsidRPr="00F36C3E" w:rsidRDefault="00F14894">
      <w:pPr>
        <w:numPr>
          <w:ilvl w:val="0"/>
          <w:numId w:val="2"/>
        </w:numPr>
        <w:ind w:left="1446" w:right="-5" w:hanging="1075"/>
        <w:rPr>
          <w:color w:val="auto"/>
        </w:rPr>
      </w:pPr>
      <w:r w:rsidRPr="00F36C3E">
        <w:rPr>
          <w:color w:val="auto"/>
        </w:rPr>
        <w:t xml:space="preserve">ter comprovadamente atuado em investigação de irregularidades em atos envolvendo o setor público, em contratações de porte compatível com o objeto da CONCESSÃO; </w:t>
      </w:r>
    </w:p>
    <w:p w14:paraId="062EE06C" w14:textId="77777777" w:rsidR="00156648" w:rsidRPr="00F36C3E" w:rsidRDefault="00F14894">
      <w:pPr>
        <w:numPr>
          <w:ilvl w:val="0"/>
          <w:numId w:val="2"/>
        </w:numPr>
        <w:ind w:left="1446" w:right="-5" w:hanging="1075"/>
        <w:rPr>
          <w:color w:val="auto"/>
        </w:rPr>
      </w:pPr>
      <w:r w:rsidRPr="00F36C3E">
        <w:rPr>
          <w:color w:val="auto"/>
        </w:rPr>
        <w:t xml:space="preserve">não pertencer ao GRUPO ECONÔMICO da CONCESSIONÁRIA, nem ter prestado quaisquer serviços a qualquer empresa deste mesmo GRUPO ECONÔMICO da CONCESSIONÁRIA nos últimos 6 (seis) meses; </w:t>
      </w:r>
    </w:p>
    <w:p w14:paraId="4F644FD2" w14:textId="77777777" w:rsidR="00156648" w:rsidRPr="00F36C3E" w:rsidRDefault="00F14894">
      <w:pPr>
        <w:numPr>
          <w:ilvl w:val="0"/>
          <w:numId w:val="2"/>
        </w:numPr>
        <w:ind w:left="1446" w:right="-5" w:hanging="1075"/>
        <w:rPr>
          <w:color w:val="auto"/>
        </w:rPr>
      </w:pPr>
      <w:r w:rsidRPr="00F36C3E">
        <w:rPr>
          <w:color w:val="auto"/>
        </w:rPr>
        <w:t xml:space="preserve">não ter em seus quadros pessoa que tenha sido, nos últimos 6 (seis) meses, dirigente, gerente, empregado, contratado terceirizado, administrador ou sócio da CONCESSIONÁRIA ou de PARTES RELACIONADAS a esta, da CPTM ou dos órgãos do PODER CONCEDENTE referidos no item 7.4.2 do EDITAL; </w:t>
      </w:r>
    </w:p>
    <w:p w14:paraId="56571B28" w14:textId="77777777" w:rsidR="00156648" w:rsidRPr="00F36C3E" w:rsidRDefault="00F14894">
      <w:pPr>
        <w:numPr>
          <w:ilvl w:val="0"/>
          <w:numId w:val="2"/>
        </w:numPr>
        <w:ind w:left="1446" w:right="-5" w:hanging="1075"/>
        <w:rPr>
          <w:color w:val="auto"/>
        </w:rPr>
      </w:pPr>
      <w:r w:rsidRPr="00F36C3E">
        <w:rPr>
          <w:color w:val="auto"/>
        </w:rPr>
        <w:t xml:space="preserve">não estar em situação de insolvência, liquidação, regime de administração especial temporária ou intervenção, ou ainda, ter falência decretada por sentença judicial; </w:t>
      </w:r>
    </w:p>
    <w:p w14:paraId="66B9AEA3" w14:textId="77777777" w:rsidR="00156648" w:rsidRPr="00F36C3E" w:rsidRDefault="00F14894">
      <w:pPr>
        <w:numPr>
          <w:ilvl w:val="0"/>
          <w:numId w:val="2"/>
        </w:numPr>
        <w:ind w:left="1446" w:right="-5" w:hanging="1075"/>
        <w:rPr>
          <w:color w:val="auto"/>
        </w:rPr>
      </w:pPr>
      <w:r w:rsidRPr="00F36C3E">
        <w:rPr>
          <w:color w:val="auto"/>
        </w:rPr>
        <w:t xml:space="preserve">não estar no cumprimento de pena de suspensão temporária de participação em licitação e impedimento de contratar com a Administração direta ou indireta do Estado de São Paulo, decorrente do artigo 87, inciso III, e artigo 88, da Lei Federal nº 8.666/1993, ou do artigo 7º da Lei Federal nº 10.520/2002, ou do artigo 47 da Lei Federal nº 12.462/2011; </w:t>
      </w:r>
    </w:p>
    <w:p w14:paraId="7C6D8CA3" w14:textId="77777777" w:rsidR="00156648" w:rsidRPr="00F36C3E" w:rsidRDefault="00F14894">
      <w:pPr>
        <w:numPr>
          <w:ilvl w:val="0"/>
          <w:numId w:val="2"/>
        </w:numPr>
        <w:ind w:left="1446" w:right="-5" w:hanging="1075"/>
        <w:rPr>
          <w:color w:val="auto"/>
        </w:rPr>
      </w:pPr>
      <w:r w:rsidRPr="00F36C3E">
        <w:rPr>
          <w:color w:val="auto"/>
        </w:rPr>
        <w:t xml:space="preserve">não ter sido condenada, por sentença transitada em julgado, à pena de interdição de direitos devido à prática de crimes ambientais, conforme disciplinado no art. 10 da Lei Federal nº 9.605/1998; </w:t>
      </w:r>
    </w:p>
    <w:p w14:paraId="11B938DC" w14:textId="77777777" w:rsidR="00156648" w:rsidRPr="00F36C3E" w:rsidRDefault="00F14894">
      <w:pPr>
        <w:numPr>
          <w:ilvl w:val="0"/>
          <w:numId w:val="2"/>
        </w:numPr>
        <w:ind w:left="1446" w:right="-5" w:hanging="1075"/>
        <w:rPr>
          <w:color w:val="auto"/>
        </w:rPr>
      </w:pPr>
      <w:r w:rsidRPr="00F36C3E">
        <w:rPr>
          <w:color w:val="auto"/>
        </w:rPr>
        <w:t xml:space="preserve">não constar no (a) Cadastro Nacional de Empresas Punidas – CNEP e no Cadastro Nacional de Empresas Inidôneas e Suspensas – CEIS, ambos do Governo Federal, instituídos nos termos dos artigos 22 e 23 da Lei Federal n.º 12.846/2013; (b) Cadastro Nacional de Condenações Cíveis por Atos de Improbidade Administrativa e Inelegibilidade – CNIA do Conselho Nacional de Justiça; e (c) Cadastro Estadual de Empresas Punidas – CEEP do Estado de </w:t>
      </w:r>
      <w:r w:rsidRPr="00F36C3E">
        <w:rPr>
          <w:color w:val="auto"/>
        </w:rPr>
        <w:lastRenderedPageBreak/>
        <w:t xml:space="preserve">São Paulo, instituído nos termos do artigo 5º do Decreto Estadual n.º 60.106/2014; </w:t>
      </w:r>
    </w:p>
    <w:p w14:paraId="369486CB" w14:textId="6586FEF6" w:rsidR="00156648" w:rsidRPr="00F36C3E" w:rsidRDefault="00F14894" w:rsidP="00F36C3E">
      <w:pPr>
        <w:numPr>
          <w:ilvl w:val="0"/>
          <w:numId w:val="2"/>
        </w:numPr>
        <w:ind w:left="1418" w:right="-5" w:firstLine="0"/>
        <w:rPr>
          <w:color w:val="auto"/>
        </w:rPr>
      </w:pPr>
      <w:r w:rsidRPr="00F36C3E">
        <w:rPr>
          <w:color w:val="auto"/>
        </w:rPr>
        <w:t xml:space="preserve">não ter sido proibida pelo Plenário do CADE de participar de licitações promovidas pela ADMINISTRAÇÃO PÚBLICA, em virtude de prática de infração à ordem econômica, nos termos do artigo 38, inciso II, da Lei Federal n° 12.529/2011; </w:t>
      </w:r>
    </w:p>
    <w:p w14:paraId="7B03D9A8" w14:textId="77777777" w:rsidR="00156648" w:rsidRPr="00F36C3E" w:rsidRDefault="00F14894">
      <w:pPr>
        <w:numPr>
          <w:ilvl w:val="0"/>
          <w:numId w:val="2"/>
        </w:numPr>
        <w:spacing w:after="114" w:line="366" w:lineRule="auto"/>
        <w:ind w:left="1446" w:right="-5" w:hanging="1075"/>
        <w:rPr>
          <w:color w:val="auto"/>
        </w:rPr>
      </w:pPr>
      <w:r w:rsidRPr="00F36C3E">
        <w:rPr>
          <w:color w:val="auto"/>
        </w:rPr>
        <w:t xml:space="preserve">não ter sido proibida de contratar com o Poder Público em razão de condenação por ato de improbidade administrativa, nos termos do artigo 12 da Lei Federal nº 8.429/1992; </w:t>
      </w:r>
    </w:p>
    <w:p w14:paraId="76836D7A" w14:textId="0C7B1936" w:rsidR="00156648" w:rsidRPr="00F36C3E" w:rsidRDefault="00F14894" w:rsidP="00F36C3E">
      <w:pPr>
        <w:numPr>
          <w:ilvl w:val="0"/>
          <w:numId w:val="2"/>
        </w:numPr>
        <w:spacing w:after="114" w:line="366" w:lineRule="auto"/>
        <w:ind w:left="1446" w:right="-5" w:hanging="1075"/>
        <w:rPr>
          <w:color w:val="auto"/>
        </w:rPr>
      </w:pPr>
      <w:r w:rsidRPr="00F36C3E">
        <w:rPr>
          <w:color w:val="auto"/>
        </w:rPr>
        <w:t xml:space="preserve">não ter sido punida com a pena de inidoneidade para licitar ou contratar com a ADMINISTRAÇÃO PÚBLICA, decorrente do artigo 87, inciso (iv), e artigo 88, da LEI DE LICITAÇÕES E CONTRATOS ADMINISTRATIVOS, bem como outras sanções que impossibilitem a contratação com a ADMINISTRAÇÃO PÚBLICA; </w:t>
      </w:r>
    </w:p>
    <w:p w14:paraId="2B0BC760" w14:textId="77777777" w:rsidR="00156648" w:rsidRPr="00F36C3E" w:rsidRDefault="00F14894">
      <w:pPr>
        <w:numPr>
          <w:ilvl w:val="0"/>
          <w:numId w:val="2"/>
        </w:numPr>
        <w:ind w:left="1446" w:right="-5" w:hanging="1075"/>
        <w:rPr>
          <w:color w:val="auto"/>
        </w:rPr>
      </w:pPr>
      <w:r w:rsidRPr="00F36C3E">
        <w:rPr>
          <w:color w:val="auto"/>
        </w:rPr>
        <w:t xml:space="preserve">não ter sido declarada inidônea para contratar com a ADMINISTRAÇÃO PÚBLICA pelo Plenário do Tribunal de Contas do Estado de São Paulo, nos termos do artigo 108, da Lei Complementar Estadual nº 709/1993; e </w:t>
      </w:r>
    </w:p>
    <w:p w14:paraId="7DEC70A2" w14:textId="77777777" w:rsidR="00156648" w:rsidRPr="00F36C3E" w:rsidRDefault="00F14894">
      <w:pPr>
        <w:numPr>
          <w:ilvl w:val="0"/>
          <w:numId w:val="2"/>
        </w:numPr>
        <w:ind w:left="1446" w:right="-5" w:hanging="1075"/>
        <w:rPr>
          <w:color w:val="auto"/>
        </w:rPr>
      </w:pPr>
      <w:r w:rsidRPr="00F36C3E">
        <w:rPr>
          <w:color w:val="auto"/>
        </w:rPr>
        <w:t xml:space="preserve">contar com equipe técnica de especialistas de nível superior, qualificados profissionalmente. </w:t>
      </w:r>
    </w:p>
    <w:p w14:paraId="72A9F0FB" w14:textId="77777777" w:rsidR="00156648" w:rsidRPr="00F36C3E" w:rsidRDefault="00F14894">
      <w:pPr>
        <w:spacing w:after="218" w:line="259" w:lineRule="auto"/>
        <w:ind w:left="0" w:firstLine="0"/>
        <w:jc w:val="left"/>
        <w:rPr>
          <w:color w:val="auto"/>
        </w:rPr>
      </w:pPr>
      <w:r w:rsidRPr="00F36C3E">
        <w:rPr>
          <w:color w:val="auto"/>
        </w:rPr>
        <w:t xml:space="preserve"> </w:t>
      </w:r>
    </w:p>
    <w:p w14:paraId="7C8ED061" w14:textId="77777777" w:rsidR="00156648" w:rsidRPr="00F36C3E" w:rsidRDefault="00F14894">
      <w:pPr>
        <w:numPr>
          <w:ilvl w:val="1"/>
          <w:numId w:val="3"/>
        </w:numPr>
        <w:ind w:left="726" w:right="-5" w:hanging="355"/>
        <w:rPr>
          <w:color w:val="auto"/>
        </w:rPr>
      </w:pPr>
      <w:r w:rsidRPr="00F36C3E">
        <w:rPr>
          <w:color w:val="auto"/>
        </w:rPr>
        <w:t xml:space="preserve">A substituição do responsável pela auditoria especializada ou investigação não o exime das responsabilidades até então assumidas. </w:t>
      </w:r>
    </w:p>
    <w:p w14:paraId="0DDD1B8B" w14:textId="77777777" w:rsidR="00156648" w:rsidRPr="00F36C3E" w:rsidRDefault="00F14894">
      <w:pPr>
        <w:numPr>
          <w:ilvl w:val="1"/>
          <w:numId w:val="3"/>
        </w:numPr>
        <w:ind w:left="726" w:right="-5" w:hanging="355"/>
        <w:rPr>
          <w:color w:val="auto"/>
        </w:rPr>
      </w:pPr>
      <w:r w:rsidRPr="00F36C3E">
        <w:rPr>
          <w:color w:val="auto"/>
        </w:rPr>
        <w:t xml:space="preserve">A remuneração do responsável pela INVESTIGAÇÃO INDEPENDENTE será de responsabilidade da CONCESSIONÁRIA, sem ônus ao PODER CONCEDENTE, não podendo estar condicionada à conclusão, ao final da investigação, quanto à ocorrência ou inocorrência de irregularidades. </w:t>
      </w:r>
    </w:p>
    <w:sectPr w:rsidR="00156648" w:rsidRPr="00F36C3E" w:rsidSect="00F36C3E">
      <w:headerReference w:type="even" r:id="rId7"/>
      <w:headerReference w:type="default" r:id="rId8"/>
      <w:footerReference w:type="even" r:id="rId9"/>
      <w:footerReference w:type="default" r:id="rId10"/>
      <w:headerReference w:type="first" r:id="rId11"/>
      <w:footerReference w:type="first" r:id="rId12"/>
      <w:pgSz w:w="11906" w:h="16838"/>
      <w:pgMar w:top="1452" w:right="1697" w:bottom="1492" w:left="1702" w:header="1531" w:footer="68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E67B26" w14:textId="77777777" w:rsidR="007143AB" w:rsidRDefault="00F14894">
      <w:pPr>
        <w:spacing w:after="0" w:line="240" w:lineRule="auto"/>
      </w:pPr>
      <w:r>
        <w:separator/>
      </w:r>
    </w:p>
  </w:endnote>
  <w:endnote w:type="continuationSeparator" w:id="0">
    <w:p w14:paraId="477A7B6A" w14:textId="77777777" w:rsidR="007143AB" w:rsidRDefault="00F148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05978" w14:textId="77777777" w:rsidR="00156648" w:rsidRDefault="00F14894">
    <w:pPr>
      <w:spacing w:after="0" w:line="259" w:lineRule="auto"/>
      <w:ind w:left="0" w:right="5" w:firstLine="0"/>
      <w:jc w:val="center"/>
    </w:pPr>
    <w:r>
      <w:fldChar w:fldCharType="begin"/>
    </w:r>
    <w:r>
      <w:instrText xml:space="preserve"> PAGE   \* MERGEFORMAT </w:instrText>
    </w:r>
    <w:r>
      <w:fldChar w:fldCharType="separate"/>
    </w:r>
    <w:r>
      <w:t>2</w:t>
    </w:r>
    <w:r>
      <w:fldChar w:fldCharType="end"/>
    </w:r>
    <w:r>
      <w:rPr>
        <w:rFonts w:ascii="Calibri" w:eastAsia="Calibri" w:hAnsi="Calibri" w:cs="Calibri"/>
        <w:sz w:val="22"/>
      </w:rPr>
      <w:t xml:space="preserve"> </w:t>
    </w:r>
  </w:p>
  <w:p w14:paraId="77F50497" w14:textId="77777777" w:rsidR="00156648" w:rsidRDefault="00F14894">
    <w:pPr>
      <w:spacing w:after="0" w:line="259" w:lineRule="auto"/>
      <w:ind w:lef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16756427"/>
      <w:docPartObj>
        <w:docPartGallery w:val="Page Numbers (Bottom of Page)"/>
        <w:docPartUnique/>
      </w:docPartObj>
    </w:sdtPr>
    <w:sdtEndPr>
      <w:rPr>
        <w:rFonts w:ascii="Arial" w:hAnsi="Arial" w:cs="Arial"/>
        <w:sz w:val="18"/>
        <w:szCs w:val="18"/>
      </w:rPr>
    </w:sdtEndPr>
    <w:sdtContent>
      <w:sdt>
        <w:sdtPr>
          <w:rPr>
            <w:rFonts w:ascii="Arial" w:hAnsi="Arial" w:cs="Arial"/>
            <w:sz w:val="18"/>
            <w:szCs w:val="18"/>
          </w:rPr>
          <w:id w:val="-1093238917"/>
          <w:docPartObj>
            <w:docPartGallery w:val="Page Numbers (Top of Page)"/>
            <w:docPartUnique/>
          </w:docPartObj>
        </w:sdtPr>
        <w:sdtEndPr/>
        <w:sdtContent>
          <w:p w14:paraId="73478F34" w14:textId="0E7D07BF" w:rsidR="001B3AC4" w:rsidRPr="001B3AC4" w:rsidRDefault="001B3AC4">
            <w:pPr>
              <w:pStyle w:val="Rodap"/>
              <w:jc w:val="right"/>
              <w:rPr>
                <w:rFonts w:ascii="Arial" w:hAnsi="Arial" w:cs="Arial"/>
                <w:sz w:val="18"/>
                <w:szCs w:val="18"/>
              </w:rPr>
            </w:pPr>
            <w:r w:rsidRPr="001B3AC4">
              <w:rPr>
                <w:rFonts w:ascii="Arial" w:hAnsi="Arial" w:cs="Arial"/>
                <w:sz w:val="18"/>
                <w:szCs w:val="18"/>
              </w:rPr>
              <w:t xml:space="preserve">Página </w:t>
            </w:r>
            <w:r w:rsidRPr="001B3AC4">
              <w:rPr>
                <w:rFonts w:ascii="Arial" w:hAnsi="Arial" w:cs="Arial"/>
                <w:sz w:val="18"/>
                <w:szCs w:val="18"/>
              </w:rPr>
              <w:fldChar w:fldCharType="begin"/>
            </w:r>
            <w:r w:rsidRPr="001B3AC4">
              <w:rPr>
                <w:rFonts w:ascii="Arial" w:hAnsi="Arial" w:cs="Arial"/>
                <w:sz w:val="18"/>
                <w:szCs w:val="18"/>
              </w:rPr>
              <w:instrText>PAGE</w:instrText>
            </w:r>
            <w:r w:rsidRPr="001B3AC4">
              <w:rPr>
                <w:rFonts w:ascii="Arial" w:hAnsi="Arial" w:cs="Arial"/>
                <w:sz w:val="18"/>
                <w:szCs w:val="18"/>
              </w:rPr>
              <w:fldChar w:fldCharType="separate"/>
            </w:r>
            <w:r w:rsidRPr="001B3AC4">
              <w:rPr>
                <w:rFonts w:ascii="Arial" w:hAnsi="Arial" w:cs="Arial"/>
                <w:sz w:val="18"/>
                <w:szCs w:val="18"/>
              </w:rPr>
              <w:t>2</w:t>
            </w:r>
            <w:r w:rsidRPr="001B3AC4">
              <w:rPr>
                <w:rFonts w:ascii="Arial" w:hAnsi="Arial" w:cs="Arial"/>
                <w:sz w:val="18"/>
                <w:szCs w:val="18"/>
              </w:rPr>
              <w:fldChar w:fldCharType="end"/>
            </w:r>
            <w:r w:rsidRPr="001B3AC4">
              <w:rPr>
                <w:rFonts w:ascii="Arial" w:hAnsi="Arial" w:cs="Arial"/>
                <w:sz w:val="18"/>
                <w:szCs w:val="18"/>
              </w:rPr>
              <w:t xml:space="preserve"> de </w:t>
            </w:r>
            <w:r w:rsidRPr="001B3AC4">
              <w:rPr>
                <w:rFonts w:ascii="Arial" w:hAnsi="Arial" w:cs="Arial"/>
                <w:sz w:val="18"/>
                <w:szCs w:val="18"/>
              </w:rPr>
              <w:fldChar w:fldCharType="begin"/>
            </w:r>
            <w:r w:rsidRPr="001B3AC4">
              <w:rPr>
                <w:rFonts w:ascii="Arial" w:hAnsi="Arial" w:cs="Arial"/>
                <w:sz w:val="18"/>
                <w:szCs w:val="18"/>
              </w:rPr>
              <w:instrText>NUMPAGES</w:instrText>
            </w:r>
            <w:r w:rsidRPr="001B3AC4">
              <w:rPr>
                <w:rFonts w:ascii="Arial" w:hAnsi="Arial" w:cs="Arial"/>
                <w:sz w:val="18"/>
                <w:szCs w:val="18"/>
              </w:rPr>
              <w:fldChar w:fldCharType="separate"/>
            </w:r>
            <w:r w:rsidRPr="001B3AC4">
              <w:rPr>
                <w:rFonts w:ascii="Arial" w:hAnsi="Arial" w:cs="Arial"/>
                <w:sz w:val="18"/>
                <w:szCs w:val="18"/>
              </w:rPr>
              <w:t>2</w:t>
            </w:r>
            <w:r w:rsidRPr="001B3AC4">
              <w:rPr>
                <w:rFonts w:ascii="Arial" w:hAnsi="Arial" w:cs="Arial"/>
                <w:sz w:val="18"/>
                <w:szCs w:val="18"/>
              </w:rPr>
              <w:fldChar w:fldCharType="end"/>
            </w:r>
          </w:p>
        </w:sdtContent>
      </w:sdt>
    </w:sdtContent>
  </w:sdt>
  <w:p w14:paraId="6313713D" w14:textId="0DB6CAB2" w:rsidR="00156648" w:rsidRPr="001B3AC4" w:rsidRDefault="001B3AC4">
    <w:pPr>
      <w:spacing w:after="0" w:line="259" w:lineRule="auto"/>
      <w:ind w:left="0" w:firstLine="0"/>
      <w:jc w:val="left"/>
      <w:rPr>
        <w:sz w:val="18"/>
        <w:szCs w:val="18"/>
      </w:rPr>
    </w:pPr>
    <w:r w:rsidRPr="001B3AC4">
      <w:rPr>
        <w:sz w:val="18"/>
        <w:szCs w:val="18"/>
      </w:rPr>
      <w:t>Anexo IX</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8"/>
        <w:szCs w:val="18"/>
      </w:rPr>
      <w:id w:val="-823889332"/>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p w14:paraId="33B4DC6C" w14:textId="08A37CF7" w:rsidR="001B3AC4" w:rsidRPr="00F36C3E" w:rsidRDefault="001B3AC4">
            <w:pPr>
              <w:pStyle w:val="Rodap"/>
              <w:jc w:val="right"/>
              <w:rPr>
                <w:rFonts w:ascii="Arial" w:hAnsi="Arial" w:cs="Arial"/>
                <w:sz w:val="18"/>
                <w:szCs w:val="18"/>
              </w:rPr>
            </w:pPr>
            <w:r w:rsidRPr="00F36C3E">
              <w:rPr>
                <w:rFonts w:ascii="Arial" w:hAnsi="Arial" w:cs="Arial"/>
                <w:sz w:val="18"/>
                <w:szCs w:val="18"/>
              </w:rPr>
              <w:t xml:space="preserve">Página </w:t>
            </w:r>
            <w:r w:rsidRPr="00F36C3E">
              <w:rPr>
                <w:rFonts w:ascii="Arial" w:hAnsi="Arial" w:cs="Arial"/>
                <w:sz w:val="18"/>
                <w:szCs w:val="18"/>
              </w:rPr>
              <w:fldChar w:fldCharType="begin"/>
            </w:r>
            <w:r w:rsidRPr="00F36C3E">
              <w:rPr>
                <w:rFonts w:ascii="Arial" w:hAnsi="Arial" w:cs="Arial"/>
                <w:sz w:val="18"/>
                <w:szCs w:val="18"/>
              </w:rPr>
              <w:instrText>PAGE</w:instrText>
            </w:r>
            <w:r w:rsidRPr="00F36C3E">
              <w:rPr>
                <w:rFonts w:ascii="Arial" w:hAnsi="Arial" w:cs="Arial"/>
                <w:sz w:val="18"/>
                <w:szCs w:val="18"/>
              </w:rPr>
              <w:fldChar w:fldCharType="separate"/>
            </w:r>
            <w:r w:rsidRPr="00F36C3E">
              <w:rPr>
                <w:rFonts w:ascii="Arial" w:hAnsi="Arial" w:cs="Arial"/>
                <w:sz w:val="18"/>
                <w:szCs w:val="18"/>
              </w:rPr>
              <w:t>2</w:t>
            </w:r>
            <w:r w:rsidRPr="00F36C3E">
              <w:rPr>
                <w:rFonts w:ascii="Arial" w:hAnsi="Arial" w:cs="Arial"/>
                <w:sz w:val="18"/>
                <w:szCs w:val="18"/>
              </w:rPr>
              <w:fldChar w:fldCharType="end"/>
            </w:r>
            <w:r w:rsidRPr="00F36C3E">
              <w:rPr>
                <w:rFonts w:ascii="Arial" w:hAnsi="Arial" w:cs="Arial"/>
                <w:sz w:val="18"/>
                <w:szCs w:val="18"/>
              </w:rPr>
              <w:t xml:space="preserve"> de </w:t>
            </w:r>
            <w:r w:rsidRPr="00F36C3E">
              <w:rPr>
                <w:rFonts w:ascii="Arial" w:hAnsi="Arial" w:cs="Arial"/>
                <w:sz w:val="18"/>
                <w:szCs w:val="18"/>
              </w:rPr>
              <w:fldChar w:fldCharType="begin"/>
            </w:r>
            <w:r w:rsidRPr="00F36C3E">
              <w:rPr>
                <w:rFonts w:ascii="Arial" w:hAnsi="Arial" w:cs="Arial"/>
                <w:sz w:val="18"/>
                <w:szCs w:val="18"/>
              </w:rPr>
              <w:instrText>NUMPAGES</w:instrText>
            </w:r>
            <w:r w:rsidRPr="00F36C3E">
              <w:rPr>
                <w:rFonts w:ascii="Arial" w:hAnsi="Arial" w:cs="Arial"/>
                <w:sz w:val="18"/>
                <w:szCs w:val="18"/>
              </w:rPr>
              <w:fldChar w:fldCharType="separate"/>
            </w:r>
            <w:r w:rsidRPr="00F36C3E">
              <w:rPr>
                <w:rFonts w:ascii="Arial" w:hAnsi="Arial" w:cs="Arial"/>
                <w:sz w:val="18"/>
                <w:szCs w:val="18"/>
              </w:rPr>
              <w:t>2</w:t>
            </w:r>
            <w:r w:rsidRPr="00F36C3E">
              <w:rPr>
                <w:rFonts w:ascii="Arial" w:hAnsi="Arial" w:cs="Arial"/>
                <w:sz w:val="18"/>
                <w:szCs w:val="18"/>
              </w:rPr>
              <w:fldChar w:fldCharType="end"/>
            </w:r>
          </w:p>
        </w:sdtContent>
      </w:sdt>
    </w:sdtContent>
  </w:sdt>
  <w:p w14:paraId="0E24CDFF" w14:textId="6998E8D3" w:rsidR="00156648" w:rsidRPr="00F36C3E" w:rsidRDefault="001B3AC4">
    <w:pPr>
      <w:spacing w:after="160" w:line="259" w:lineRule="auto"/>
      <w:ind w:left="0" w:firstLine="0"/>
      <w:jc w:val="left"/>
      <w:rPr>
        <w:sz w:val="18"/>
        <w:szCs w:val="20"/>
      </w:rPr>
    </w:pPr>
    <w:r w:rsidRPr="00F36C3E">
      <w:rPr>
        <w:sz w:val="18"/>
        <w:szCs w:val="20"/>
      </w:rPr>
      <w:t>Anexo IX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76522C" w14:textId="77777777" w:rsidR="007143AB" w:rsidRDefault="00F14894">
      <w:pPr>
        <w:spacing w:after="0" w:line="240" w:lineRule="auto"/>
      </w:pPr>
      <w:r>
        <w:separator/>
      </w:r>
    </w:p>
  </w:footnote>
  <w:footnote w:type="continuationSeparator" w:id="0">
    <w:p w14:paraId="66213286" w14:textId="77777777" w:rsidR="007143AB" w:rsidRDefault="00F148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A9C46" w14:textId="77777777" w:rsidR="00156648" w:rsidRDefault="00F14894">
    <w:pPr>
      <w:spacing w:after="1021" w:line="259" w:lineRule="auto"/>
      <w:ind w:left="0" w:right="-38" w:firstLine="0"/>
      <w:jc w:val="right"/>
    </w:pPr>
    <w:r>
      <w:rPr>
        <w:b/>
        <w:sz w:val="22"/>
      </w:rPr>
      <w:t xml:space="preserve"> </w:t>
    </w:r>
    <w:r>
      <w:rPr>
        <w:b/>
        <w:sz w:val="22"/>
      </w:rPr>
      <w:tab/>
    </w:r>
    <w:r>
      <w:rPr>
        <w:rFonts w:ascii="Calibri" w:eastAsia="Calibri" w:hAnsi="Calibri" w:cs="Calibri"/>
        <w:b/>
        <w:sz w:val="22"/>
      </w:rPr>
      <w:t xml:space="preserve"> </w:t>
    </w:r>
    <w:r>
      <w:rPr>
        <w:rFonts w:ascii="Calibri" w:eastAsia="Calibri" w:hAnsi="Calibri" w:cs="Calibri"/>
        <w:b/>
        <w:sz w:val="22"/>
      </w:rPr>
      <w:tab/>
      <w:t xml:space="preserve"> </w:t>
    </w:r>
    <w:r>
      <w:rPr>
        <w:rFonts w:ascii="Calibri" w:eastAsia="Calibri" w:hAnsi="Calibri" w:cs="Calibri"/>
        <w:b/>
        <w:sz w:val="22"/>
      </w:rPr>
      <w:tab/>
      <w:t xml:space="preserve"> </w:t>
    </w:r>
    <w:r>
      <w:rPr>
        <w:rFonts w:ascii="Calibri" w:eastAsia="Calibri" w:hAnsi="Calibri" w:cs="Calibri"/>
        <w:b/>
        <w:sz w:val="22"/>
      </w:rPr>
      <w:tab/>
      <w:t xml:space="preserve"> </w:t>
    </w:r>
    <w:r>
      <w:rPr>
        <w:rFonts w:ascii="Calibri" w:eastAsia="Calibri" w:hAnsi="Calibri" w:cs="Calibri"/>
        <w:b/>
        <w:sz w:val="22"/>
      </w:rPr>
      <w:tab/>
      <w:t xml:space="preserve"> </w:t>
    </w:r>
    <w:r>
      <w:rPr>
        <w:rFonts w:ascii="Calibri" w:eastAsia="Calibri" w:hAnsi="Calibri" w:cs="Calibri"/>
        <w:b/>
        <w:sz w:val="22"/>
      </w:rPr>
      <w:tab/>
    </w:r>
    <w:r>
      <w:rPr>
        <w:rFonts w:ascii="Calibri" w:eastAsia="Calibri" w:hAnsi="Calibri" w:cs="Calibri"/>
        <w:sz w:val="22"/>
      </w:rPr>
      <w:t xml:space="preserve">    </w:t>
    </w:r>
    <w:r>
      <w:rPr>
        <w:rFonts w:ascii="Calibri" w:eastAsia="Calibri" w:hAnsi="Calibri" w:cs="Calibri"/>
        <w:b/>
        <w:sz w:val="22"/>
      </w:rPr>
      <w:t xml:space="preserve"> </w:t>
    </w:r>
    <w:r>
      <w:rPr>
        <w:rFonts w:ascii="Calibri" w:eastAsia="Calibri" w:hAnsi="Calibri" w:cs="Calibri"/>
        <w:b/>
        <w:sz w:val="22"/>
      </w:rPr>
      <w:tab/>
    </w:r>
    <w:r>
      <w:rPr>
        <w:rFonts w:ascii="Calibri" w:eastAsia="Calibri" w:hAnsi="Calibri" w:cs="Calibri"/>
        <w:sz w:val="22"/>
      </w:rPr>
      <w:t xml:space="preserve">        </w:t>
    </w:r>
    <w:r>
      <w:rPr>
        <w:rFonts w:ascii="Calibri" w:eastAsia="Calibri" w:hAnsi="Calibri" w:cs="Calibri"/>
        <w:b/>
        <w:sz w:val="22"/>
      </w:rPr>
      <w:t xml:space="preserve"> </w:t>
    </w:r>
    <w:r>
      <w:rPr>
        <w:rFonts w:ascii="Calibri" w:eastAsia="Calibri" w:hAnsi="Calibri" w:cs="Calibri"/>
        <w:b/>
        <w:sz w:val="22"/>
      </w:rPr>
      <w:tab/>
    </w:r>
    <w:r>
      <w:rPr>
        <w:rFonts w:ascii="Calibri" w:eastAsia="Calibri" w:hAnsi="Calibri" w:cs="Calibri"/>
        <w:b/>
        <w:sz w:val="18"/>
      </w:rPr>
      <w:t xml:space="preserve"> </w:t>
    </w:r>
  </w:p>
  <w:p w14:paraId="5129DFAD" w14:textId="77777777" w:rsidR="00156648" w:rsidRDefault="00F14894">
    <w:pPr>
      <w:spacing w:after="0" w:line="259" w:lineRule="auto"/>
      <w:ind w:left="55" w:firstLine="0"/>
      <w:jc w:val="center"/>
    </w:pPr>
    <w:r>
      <w:rPr>
        <w:noProof/>
      </w:rPr>
      <w:drawing>
        <wp:anchor distT="0" distB="0" distL="114300" distR="114300" simplePos="0" relativeHeight="251658240" behindDoc="0" locked="0" layoutInCell="1" allowOverlap="0" wp14:anchorId="23B50FCD" wp14:editId="742BEB75">
          <wp:simplePos x="0" y="0"/>
          <wp:positionH relativeFrom="page">
            <wp:posOffset>2970276</wp:posOffset>
          </wp:positionH>
          <wp:positionV relativeFrom="page">
            <wp:posOffset>247523</wp:posOffset>
          </wp:positionV>
          <wp:extent cx="1619631" cy="802640"/>
          <wp:effectExtent l="0" t="0" r="0" b="0"/>
          <wp:wrapSquare wrapText="bothSides"/>
          <wp:docPr id="106" name="Picture 106"/>
          <wp:cNvGraphicFramePr/>
          <a:graphic xmlns:a="http://schemas.openxmlformats.org/drawingml/2006/main">
            <a:graphicData uri="http://schemas.openxmlformats.org/drawingml/2006/picture">
              <pic:pic xmlns:pic="http://schemas.openxmlformats.org/drawingml/2006/picture">
                <pic:nvPicPr>
                  <pic:cNvPr id="106" name="Picture 106"/>
                  <pic:cNvPicPr/>
                </pic:nvPicPr>
                <pic:blipFill>
                  <a:blip r:embed="rId1"/>
                  <a:stretch>
                    <a:fillRect/>
                  </a:stretch>
                </pic:blipFill>
                <pic:spPr>
                  <a:xfrm>
                    <a:off x="0" y="0"/>
                    <a:ext cx="1619631" cy="802640"/>
                  </a:xfrm>
                  <a:prstGeom prst="rect">
                    <a:avLst/>
                  </a:prstGeom>
                </pic:spPr>
              </pic:pic>
            </a:graphicData>
          </a:graphic>
        </wp:anchor>
      </w:drawing>
    </w:r>
    <w:r>
      <w:rPr>
        <w:sz w:val="22"/>
      </w:rPr>
      <w:t xml:space="preserve"> </w:t>
    </w:r>
  </w:p>
  <w:p w14:paraId="4E76DD2B" w14:textId="77777777" w:rsidR="00156648" w:rsidRDefault="00F14894">
    <w:pPr>
      <w:spacing w:after="0" w:line="259" w:lineRule="auto"/>
      <w:ind w:left="0" w:right="7" w:firstLine="0"/>
      <w:jc w:val="center"/>
    </w:pPr>
    <w:r>
      <w:rPr>
        <w:b/>
        <w:sz w:val="18"/>
      </w:rPr>
      <w:t>CONCORRÊNCIA INTERNACIONAL Nº 01/2020</w:t>
    </w:r>
    <w:r>
      <w:rPr>
        <w:b/>
        <w:color w:val="FF0000"/>
        <w:sz w:val="18"/>
      </w:rPr>
      <w:t xml:space="preserve"> </w:t>
    </w:r>
    <w:r>
      <w:rPr>
        <w:sz w:val="18"/>
      </w:rPr>
      <w:t xml:space="preserve"> </w:t>
    </w:r>
  </w:p>
  <w:p w14:paraId="410F94FC" w14:textId="77777777" w:rsidR="00156648" w:rsidRDefault="00F14894">
    <w:pPr>
      <w:spacing w:after="0" w:line="259" w:lineRule="auto"/>
      <w:ind w:left="0" w:right="6" w:firstLine="0"/>
      <w:jc w:val="center"/>
    </w:pPr>
    <w:r>
      <w:rPr>
        <w:b/>
        <w:sz w:val="18"/>
      </w:rPr>
      <w:t xml:space="preserve">PROCESSO STM Nº 2907444/2019 </w:t>
    </w:r>
  </w:p>
  <w:p w14:paraId="0DD363A3" w14:textId="77777777" w:rsidR="00156648" w:rsidRDefault="00F14894">
    <w:pPr>
      <w:spacing w:after="26" w:line="259" w:lineRule="auto"/>
      <w:ind w:left="0" w:right="2" w:firstLine="0"/>
      <w:jc w:val="center"/>
    </w:pPr>
    <w:r>
      <w:rPr>
        <w:b/>
        <w:sz w:val="18"/>
      </w:rPr>
      <w:t>Concessão das Linhas 8 - Diamante e 9 - Esmeralda</w:t>
    </w:r>
    <w:r>
      <w:rPr>
        <w:sz w:val="18"/>
      </w:rPr>
      <w:t xml:space="preserve"> </w:t>
    </w:r>
  </w:p>
  <w:p w14:paraId="01A220C3" w14:textId="77777777" w:rsidR="00156648" w:rsidRDefault="00F14894">
    <w:pPr>
      <w:spacing w:after="0" w:line="259" w:lineRule="auto"/>
      <w:ind w:left="0" w:firstLine="0"/>
      <w:jc w:val="left"/>
    </w:pPr>
    <w:r>
      <w:rPr>
        <w:rFonts w:ascii="Calibri" w:eastAsia="Calibri" w:hAnsi="Calibri" w:cs="Calibri"/>
        <w:sz w:val="22"/>
      </w:rPr>
      <w:t xml:space="preserve"> </w:t>
    </w:r>
  </w:p>
  <w:p w14:paraId="43CF8353" w14:textId="77777777" w:rsidR="00156648" w:rsidRDefault="00F14894">
    <w:pPr>
      <w:spacing w:after="0" w:line="259" w:lineRule="auto"/>
      <w:ind w:left="0" w:firstLine="0"/>
      <w:jc w:val="left"/>
    </w:pPr>
    <w:r>
      <w:rPr>
        <w:sz w:val="1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B91C3" w14:textId="3515D98A" w:rsidR="001B3AC4" w:rsidRDefault="001B3AC4" w:rsidP="00035627">
    <w:pPr>
      <w:spacing w:after="0" w:line="259" w:lineRule="auto"/>
      <w:ind w:left="2271" w:firstLine="1131"/>
      <w:jc w:val="left"/>
    </w:pPr>
    <w:r>
      <w:rPr>
        <w:noProof/>
      </w:rPr>
      <w:drawing>
        <wp:anchor distT="0" distB="0" distL="114300" distR="114300" simplePos="0" relativeHeight="251662336" behindDoc="0" locked="0" layoutInCell="1" allowOverlap="0" wp14:anchorId="0E3C37B7" wp14:editId="37322A3E">
          <wp:simplePos x="0" y="0"/>
          <wp:positionH relativeFrom="margin">
            <wp:posOffset>1891030</wp:posOffset>
          </wp:positionH>
          <wp:positionV relativeFrom="page">
            <wp:posOffset>132429</wp:posOffset>
          </wp:positionV>
          <wp:extent cx="1619250" cy="802577"/>
          <wp:effectExtent l="0" t="0" r="0" b="0"/>
          <wp:wrapSquare wrapText="bothSides"/>
          <wp:docPr id="2" name="Picture 35" descr="Desenho com traços pretos em fundo branco e letras pretas&#10;&#10;Descrição gerada automaticamente com confiança média"/>
          <wp:cNvGraphicFramePr/>
          <a:graphic xmlns:a="http://schemas.openxmlformats.org/drawingml/2006/main">
            <a:graphicData uri="http://schemas.openxmlformats.org/drawingml/2006/picture">
              <pic:pic xmlns:pic="http://schemas.openxmlformats.org/drawingml/2006/picture">
                <pic:nvPicPr>
                  <pic:cNvPr id="2" name="Picture 35" descr="Desenho com traços pretos em fundo branco e letras pretas&#10;&#10;Descrição gerada automaticamente com confiança média"/>
                  <pic:cNvPicPr/>
                </pic:nvPicPr>
                <pic:blipFill>
                  <a:blip r:embed="rId1"/>
                  <a:stretch>
                    <a:fillRect/>
                  </a:stretch>
                </pic:blipFill>
                <pic:spPr>
                  <a:xfrm>
                    <a:off x="0" y="0"/>
                    <a:ext cx="1619250" cy="802577"/>
                  </a:xfrm>
                  <a:prstGeom prst="rect">
                    <a:avLst/>
                  </a:prstGeom>
                </pic:spPr>
              </pic:pic>
            </a:graphicData>
          </a:graphic>
          <wp14:sizeRelV relativeFrom="margin">
            <wp14:pctHeight>0</wp14:pctHeight>
          </wp14:sizeRelV>
        </wp:anchor>
      </w:drawing>
    </w:r>
    <w:r>
      <w:rPr>
        <w:b/>
        <w:sz w:val="18"/>
      </w:rPr>
      <w:t>CONTRATO Nº 02/2021</w:t>
    </w:r>
  </w:p>
  <w:p w14:paraId="44C3AD19" w14:textId="77777777" w:rsidR="001B3AC4" w:rsidRDefault="001B3AC4" w:rsidP="001B3AC4">
    <w:pPr>
      <w:spacing w:after="0" w:line="259" w:lineRule="auto"/>
      <w:ind w:left="0" w:right="6" w:firstLine="0"/>
      <w:jc w:val="center"/>
    </w:pPr>
    <w:r>
      <w:rPr>
        <w:b/>
        <w:sz w:val="18"/>
      </w:rPr>
      <w:t xml:space="preserve">PROCESSO STM Nº 2907444/2019 </w:t>
    </w:r>
  </w:p>
  <w:p w14:paraId="21D467F5" w14:textId="77777777" w:rsidR="001B3AC4" w:rsidRDefault="001B3AC4" w:rsidP="001B3AC4">
    <w:pPr>
      <w:spacing w:after="26" w:line="259" w:lineRule="auto"/>
      <w:ind w:left="2026" w:hanging="10"/>
      <w:jc w:val="left"/>
      <w:rPr>
        <w:sz w:val="18"/>
      </w:rPr>
    </w:pPr>
    <w:r>
      <w:rPr>
        <w:b/>
        <w:sz w:val="18"/>
      </w:rPr>
      <w:t>Concessão das Linhas 8 - Diamante e 9 - Esmeralda</w:t>
    </w:r>
    <w:r>
      <w:rPr>
        <w:sz w:val="18"/>
      </w:rPr>
      <w:t xml:space="preserve"> </w:t>
    </w:r>
  </w:p>
  <w:p w14:paraId="6CA4ED9B" w14:textId="77777777" w:rsidR="001B3AC4" w:rsidRDefault="001B3AC4" w:rsidP="001B3AC4">
    <w:pPr>
      <w:spacing w:after="26" w:line="259" w:lineRule="auto"/>
      <w:ind w:left="2026" w:hanging="1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44300" w14:textId="366B6867" w:rsidR="001B3AC4" w:rsidRDefault="001B3AC4" w:rsidP="00035627">
    <w:pPr>
      <w:spacing w:after="0" w:line="259" w:lineRule="auto"/>
      <w:ind w:left="2271" w:firstLine="990"/>
      <w:jc w:val="left"/>
    </w:pPr>
    <w:r>
      <w:rPr>
        <w:noProof/>
      </w:rPr>
      <w:drawing>
        <wp:anchor distT="0" distB="0" distL="114300" distR="114300" simplePos="0" relativeHeight="251660288" behindDoc="0" locked="0" layoutInCell="1" allowOverlap="0" wp14:anchorId="2E4AA015" wp14:editId="79CA5DA8">
          <wp:simplePos x="0" y="0"/>
          <wp:positionH relativeFrom="margin">
            <wp:posOffset>1891030</wp:posOffset>
          </wp:positionH>
          <wp:positionV relativeFrom="page">
            <wp:posOffset>132429</wp:posOffset>
          </wp:positionV>
          <wp:extent cx="1619250" cy="802577"/>
          <wp:effectExtent l="0" t="0" r="0" b="0"/>
          <wp:wrapSquare wrapText="bothSides"/>
          <wp:docPr id="35" name="Picture 35"/>
          <wp:cNvGraphicFramePr/>
          <a:graphic xmlns:a="http://schemas.openxmlformats.org/drawingml/2006/main">
            <a:graphicData uri="http://schemas.openxmlformats.org/drawingml/2006/picture">
              <pic:pic xmlns:pic="http://schemas.openxmlformats.org/drawingml/2006/picture">
                <pic:nvPicPr>
                  <pic:cNvPr id="35" name="Picture 35"/>
                  <pic:cNvPicPr/>
                </pic:nvPicPr>
                <pic:blipFill>
                  <a:blip r:embed="rId1"/>
                  <a:stretch>
                    <a:fillRect/>
                  </a:stretch>
                </pic:blipFill>
                <pic:spPr>
                  <a:xfrm>
                    <a:off x="0" y="0"/>
                    <a:ext cx="1619250" cy="802577"/>
                  </a:xfrm>
                  <a:prstGeom prst="rect">
                    <a:avLst/>
                  </a:prstGeom>
                </pic:spPr>
              </pic:pic>
            </a:graphicData>
          </a:graphic>
          <wp14:sizeRelV relativeFrom="margin">
            <wp14:pctHeight>0</wp14:pctHeight>
          </wp14:sizeRelV>
        </wp:anchor>
      </w:drawing>
    </w:r>
    <w:r>
      <w:rPr>
        <w:b/>
        <w:sz w:val="18"/>
      </w:rPr>
      <w:t>CON</w:t>
    </w:r>
    <w:r w:rsidR="00F2653C">
      <w:rPr>
        <w:b/>
        <w:sz w:val="18"/>
      </w:rPr>
      <w:t>TRATO</w:t>
    </w:r>
    <w:r>
      <w:rPr>
        <w:b/>
        <w:sz w:val="18"/>
      </w:rPr>
      <w:t xml:space="preserve"> Nº 0</w:t>
    </w:r>
    <w:r w:rsidR="00F2653C">
      <w:rPr>
        <w:b/>
        <w:sz w:val="18"/>
      </w:rPr>
      <w:t>2</w:t>
    </w:r>
    <w:r>
      <w:rPr>
        <w:b/>
        <w:sz w:val="18"/>
      </w:rPr>
      <w:t>/202</w:t>
    </w:r>
    <w:r w:rsidR="00F2653C">
      <w:rPr>
        <w:b/>
        <w:sz w:val="18"/>
      </w:rPr>
      <w:t>1</w:t>
    </w:r>
    <w:r>
      <w:rPr>
        <w:b/>
        <w:color w:val="FF0000"/>
        <w:sz w:val="18"/>
      </w:rPr>
      <w:t xml:space="preserve"> </w:t>
    </w:r>
    <w:r>
      <w:rPr>
        <w:sz w:val="18"/>
      </w:rPr>
      <w:t xml:space="preserve"> </w:t>
    </w:r>
  </w:p>
  <w:p w14:paraId="673B5015" w14:textId="77777777" w:rsidR="001B3AC4" w:rsidRDefault="001B3AC4" w:rsidP="001B3AC4">
    <w:pPr>
      <w:spacing w:after="0" w:line="259" w:lineRule="auto"/>
      <w:ind w:left="0" w:right="6" w:firstLine="0"/>
      <w:jc w:val="center"/>
    </w:pPr>
    <w:r>
      <w:rPr>
        <w:b/>
        <w:sz w:val="18"/>
      </w:rPr>
      <w:t xml:space="preserve">PROCESSO STM Nº 2907444/2019 </w:t>
    </w:r>
  </w:p>
  <w:p w14:paraId="32AC8019" w14:textId="77777777" w:rsidR="001B3AC4" w:rsidRDefault="001B3AC4" w:rsidP="001B3AC4">
    <w:pPr>
      <w:spacing w:after="26" w:line="259" w:lineRule="auto"/>
      <w:ind w:left="2026" w:hanging="10"/>
      <w:jc w:val="left"/>
      <w:rPr>
        <w:sz w:val="18"/>
      </w:rPr>
    </w:pPr>
    <w:r>
      <w:rPr>
        <w:b/>
        <w:sz w:val="18"/>
      </w:rPr>
      <w:t>Concessão das Linhas 8 - Diamante e 9 - Esmeralda</w:t>
    </w:r>
    <w:r>
      <w:rPr>
        <w:sz w:val="18"/>
      </w:rPr>
      <w:t xml:space="preserve"> </w:t>
    </w:r>
  </w:p>
  <w:p w14:paraId="2E821638" w14:textId="01B03B92" w:rsidR="00156648" w:rsidRDefault="00156648" w:rsidP="001B3AC4">
    <w:pPr>
      <w:spacing w:after="26" w:line="259" w:lineRule="auto"/>
      <w:ind w:left="2026" w:hanging="1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C21CD"/>
    <w:multiLevelType w:val="hybridMultilevel"/>
    <w:tmpl w:val="F87C6750"/>
    <w:lvl w:ilvl="0" w:tplc="F59E2FEA">
      <w:start w:val="1"/>
      <w:numFmt w:val="lowerRoman"/>
      <w:lvlText w:val="(%1)"/>
      <w:lvlJc w:val="left"/>
      <w:pPr>
        <w:ind w:left="14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A0A07DE">
      <w:start w:val="1"/>
      <w:numFmt w:val="lowerLetter"/>
      <w:lvlText w:val="%2"/>
      <w:lvlJc w:val="left"/>
      <w:pPr>
        <w:ind w:left="12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FDA1590">
      <w:start w:val="1"/>
      <w:numFmt w:val="lowerRoman"/>
      <w:lvlText w:val="%3"/>
      <w:lvlJc w:val="left"/>
      <w:pPr>
        <w:ind w:left="20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CBA8630">
      <w:start w:val="1"/>
      <w:numFmt w:val="decimal"/>
      <w:lvlText w:val="%4"/>
      <w:lvlJc w:val="left"/>
      <w:pPr>
        <w:ind w:left="27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5C841B8">
      <w:start w:val="1"/>
      <w:numFmt w:val="lowerLetter"/>
      <w:lvlText w:val="%5"/>
      <w:lvlJc w:val="left"/>
      <w:pPr>
        <w:ind w:left="34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FAE550C">
      <w:start w:val="1"/>
      <w:numFmt w:val="lowerRoman"/>
      <w:lvlText w:val="%6"/>
      <w:lvlJc w:val="left"/>
      <w:pPr>
        <w:ind w:left="416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C926494">
      <w:start w:val="1"/>
      <w:numFmt w:val="decimal"/>
      <w:lvlText w:val="%7"/>
      <w:lvlJc w:val="left"/>
      <w:pPr>
        <w:ind w:left="48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B023350">
      <w:start w:val="1"/>
      <w:numFmt w:val="lowerLetter"/>
      <w:lvlText w:val="%8"/>
      <w:lvlJc w:val="left"/>
      <w:pPr>
        <w:ind w:left="56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052821E">
      <w:start w:val="1"/>
      <w:numFmt w:val="lowerRoman"/>
      <w:lvlText w:val="%9"/>
      <w:lvlJc w:val="left"/>
      <w:pPr>
        <w:ind w:left="63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22A53DE0"/>
    <w:multiLevelType w:val="multilevel"/>
    <w:tmpl w:val="01A0D972"/>
    <w:lvl w:ilvl="0">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6"/>
      <w:numFmt w:val="decimal"/>
      <w:lvlRestart w:val="0"/>
      <w:lvlText w:val="%1.%2"/>
      <w:lvlJc w:val="left"/>
      <w:pPr>
        <w:ind w:left="7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6E7D081B"/>
    <w:multiLevelType w:val="multilevel"/>
    <w:tmpl w:val="2FD0ACF0"/>
    <w:lvl w:ilvl="0">
      <w:start w:val="1"/>
      <w:numFmt w:val="decimal"/>
      <w:lvlText w:val="%1."/>
      <w:lvlJc w:val="left"/>
      <w:pPr>
        <w:ind w:left="71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6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6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648"/>
    <w:rsid w:val="00035627"/>
    <w:rsid w:val="00156648"/>
    <w:rsid w:val="001B3AC4"/>
    <w:rsid w:val="00241E71"/>
    <w:rsid w:val="006D3E26"/>
    <w:rsid w:val="007143AB"/>
    <w:rsid w:val="007B179B"/>
    <w:rsid w:val="00D9777E"/>
    <w:rsid w:val="00F14894"/>
    <w:rsid w:val="00F2653C"/>
    <w:rsid w:val="00F36C3E"/>
    <w:rsid w:val="00FA750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AA6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9" w:line="363" w:lineRule="auto"/>
      <w:ind w:left="365" w:hanging="365"/>
      <w:jc w:val="both"/>
    </w:pPr>
    <w:rPr>
      <w:rFonts w:ascii="Arial" w:eastAsia="Arial" w:hAnsi="Arial" w:cs="Arial"/>
      <w:color w:val="000000"/>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B3AC4"/>
    <w:pPr>
      <w:tabs>
        <w:tab w:val="center" w:pos="4680"/>
        <w:tab w:val="right" w:pos="9360"/>
      </w:tabs>
      <w:spacing w:after="0" w:line="240" w:lineRule="auto"/>
      <w:ind w:left="0" w:firstLine="0"/>
      <w:jc w:val="left"/>
    </w:pPr>
    <w:rPr>
      <w:rFonts w:asciiTheme="minorHAnsi" w:eastAsiaTheme="minorEastAsia" w:hAnsiTheme="minorHAnsi" w:cs="Times New Roman"/>
      <w:color w:val="auto"/>
      <w:sz w:val="22"/>
    </w:rPr>
  </w:style>
  <w:style w:type="character" w:customStyle="1" w:styleId="CabealhoChar">
    <w:name w:val="Cabeçalho Char"/>
    <w:basedOn w:val="Fontepargpadro"/>
    <w:link w:val="Cabealho"/>
    <w:uiPriority w:val="99"/>
    <w:rsid w:val="001B3AC4"/>
    <w:rPr>
      <w:rFonts w:cs="Times New Roman"/>
    </w:rPr>
  </w:style>
  <w:style w:type="paragraph" w:styleId="Rodap">
    <w:name w:val="footer"/>
    <w:basedOn w:val="Normal"/>
    <w:link w:val="RodapChar"/>
    <w:uiPriority w:val="99"/>
    <w:unhideWhenUsed/>
    <w:rsid w:val="001B3AC4"/>
    <w:pPr>
      <w:tabs>
        <w:tab w:val="center" w:pos="4680"/>
        <w:tab w:val="right" w:pos="9360"/>
      </w:tabs>
      <w:spacing w:after="0" w:line="240" w:lineRule="auto"/>
      <w:ind w:left="0" w:firstLine="0"/>
      <w:jc w:val="left"/>
    </w:pPr>
    <w:rPr>
      <w:rFonts w:asciiTheme="minorHAnsi" w:eastAsiaTheme="minorEastAsia" w:hAnsiTheme="minorHAnsi" w:cs="Times New Roman"/>
      <w:color w:val="auto"/>
      <w:sz w:val="22"/>
    </w:rPr>
  </w:style>
  <w:style w:type="character" w:customStyle="1" w:styleId="RodapChar">
    <w:name w:val="Rodapé Char"/>
    <w:basedOn w:val="Fontepargpadro"/>
    <w:link w:val="Rodap"/>
    <w:uiPriority w:val="99"/>
    <w:rsid w:val="001B3AC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3E4A08A61B324F9D0602F415C99F70" ma:contentTypeVersion="10" ma:contentTypeDescription="Create a new document." ma:contentTypeScope="" ma:versionID="7256aa4de58b0b26cd1c0c504ada0f7e">
  <xsd:schema xmlns:xsd="http://www.w3.org/2001/XMLSchema" xmlns:xs="http://www.w3.org/2001/XMLSchema" xmlns:p="http://schemas.microsoft.com/office/2006/metadata/properties" xmlns:ns2="16fc08cb-b8a2-486c-bc43-ade4cdf8a874" xmlns:ns3="933696da-6228-47b3-a0d7-7342da85bd38" targetNamespace="http://schemas.microsoft.com/office/2006/metadata/properties" ma:root="true" ma:fieldsID="6a37e7642f9d68835b1a31b20bdf4de3" ns2:_="" ns3:_="">
    <xsd:import namespace="16fc08cb-b8a2-486c-bc43-ade4cdf8a874"/>
    <xsd:import namespace="933696da-6228-47b3-a0d7-7342da85bd3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fc08cb-b8a2-486c-bc43-ade4cdf8a8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dab9438-f903-450b-a158-c86bb4a35df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3696da-6228-47b3-a0d7-7342da85bd3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1b891ce-ea41-4b38-82bd-036dc0cf6b3a}" ma:internalName="TaxCatchAll" ma:showField="CatchAllData" ma:web="933696da-6228-47b3-a0d7-7342da85bd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3696da-6228-47b3-a0d7-7342da85bd38" xsi:nil="true"/>
    <lcf76f155ced4ddcb4097134ff3c332f xmlns="16fc08cb-b8a2-486c-bc43-ade4cdf8a87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BF8E87-B197-42A7-94ED-2A9BAA90BA21}"/>
</file>

<file path=customXml/itemProps2.xml><?xml version="1.0" encoding="utf-8"?>
<ds:datastoreItem xmlns:ds="http://schemas.openxmlformats.org/officeDocument/2006/customXml" ds:itemID="{5AC1719E-1271-464F-9394-E33E2B9F22B2}"/>
</file>

<file path=customXml/itemProps3.xml><?xml version="1.0" encoding="utf-8"?>
<ds:datastoreItem xmlns:ds="http://schemas.openxmlformats.org/officeDocument/2006/customXml" ds:itemID="{0C69F773-9AEF-464D-970C-F3751F1D9965}"/>
</file>

<file path=docProps/app.xml><?xml version="1.0" encoding="utf-8"?>
<Properties xmlns="http://schemas.openxmlformats.org/officeDocument/2006/extended-properties" xmlns:vt="http://schemas.openxmlformats.org/officeDocument/2006/docPropsVTypes">
  <Template>Normal.dotm</Template>
  <TotalTime>0</TotalTime>
  <Pages>4</Pages>
  <Words>929</Words>
  <Characters>5022</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2021-07-05T13:52:00Z</dcterms:created>
  <dcterms:modified xsi:type="dcterms:W3CDTF">2021-07-12T14:42:00Z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0x010100F13E4A08A61B324F9D0602F415C99F70</vt:lpwstr>
  </property>
</Properties>
</file>